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131 vom 26. April 1978</w:t>
      </w:r>
    </w:p>
    <w:p>
      <w:r>
        <w:t>Bundesgericht (BGE), 1978-04-26, DE</w:t>
      </w:r>
    </w:p>
    <w:p>
      <w:r>
        <w:rPr>
          <w:b/>
        </w:rPr>
        <w:t xml:space="preserve">Quelle: </w:t>
      </w:r>
      <w:r>
        <w:t>https://mcp.opencaselaw.ch/entscheid/bge_104 IA 131</w:t>
      </w:r>
    </w:p>
    <w:p>
      <w:r>
        <w:t>FR: BGE 104 IA 131 du 26 avril 1978</w:t>
      </w:r>
    </w:p>
    <w:p>
      <w:r>
        <w:t>IT: BGE 104 IA 131 del 26 aprile 1978</w:t>
      </w:r>
    </w:p>
    <w:p>
      <w:pPr>
        <w:pStyle w:val="Heading2"/>
      </w:pPr>
      <w:r>
        <w:t>Regeste</w:t>
      </w:r>
    </w:p>
    <w:p>
      <w:r>
        <w:t>Regeste Gemeindeautonomie (Aargau); Etappierung von Bauzonen; Nichtgenehmigung einer kommunalen Bauvorschrift; Verfahren. 1. Verfahren: a) Zu den Rechtsbehelfen, von denen nach Art. 86 Abs. 2 OG zur Erschöpfung des kantonalen Instanzenzuges Gebrauch zu machen ist, gehört auch das in §§ 68 ff des aargauischen Verwaltungsrechtspflegegesetzes vorgesehene abstrakte Normenkontrollverfahren; Bestätigung der Rechtsprechung (E. 1). b) Bei der Anfechtung von Erlassen kann mit der im Anschluss an den kantonalen Rechtsmittelentscheid erhobenen staatsrechtlichen Beschwerde, unabhängig von der Kognition der kantonalen Rechtsmittelinstanz, auch noch die Aufhebung der angefochtenen Vorschrift selber verlangt werden (E. 2a). c) Hat die kantonale Rechtsmittelinstanz das Vorliegen der gerügten Verfassungsverletzung zu Unrecht verneint, so verletzt ihr Entscheid seinerseits das betreffende Verfassungsrecht (E. 2b). 2. Autonomie der aargauischen Gemeinden im Bereiche des Bau- und Planungswesens. Sinn und Tragweite der dem aargauischen Grossen Rat nach § 147 des kantonalen Baugesetzes zustehenden Zweckmässigkeitskontrolle. Bundesgerichtliche Kognition bezüglich der Ausübung dieser Zweckmässigkeitskontrolle (E. 3). 3. Unterscheidung zwischen Erschliessungsetappierung und Baugebietsetappierung. Überprüfung eines Beschlusses des Grossen Rates, durch den die Bau- und Zonenordnung der Gemeinde Tägerig abgeändert und anstelle der von den Gemeindebürgern beschlossenen Erschliessungsetappierung eine Baugebietsetappierung vorgeschrieben wird. Keine Verletzung der Gemeindeautonomie (E. 4).</w:t>
      </w:r>
    </w:p>
    <w:p>
      <w:pPr>
        <w:pStyle w:val="Heading2"/>
      </w:pPr>
      <w:r>
        <w:t>Erwägungen</w:t>
      </w:r>
    </w:p>
    <w:p>
      <w:r>
        <w:rPr>
          <w:b/>
        </w:rPr>
        <w:t>E. 1</w:t>
      </w:r>
    </w:p>
    <w:p>
      <w:r>
        <w:t>Die Gemeinde Tägerig rügt in beiden Verfahren eine Verletzung der Gemeindeautonomie, wobei sie sich im Zusammenhang mit dieser Rüge auf gewisse ungeschriebene oder aus Art. 4 BV abgeleitete Verfassungsgrundsätze beruft (Grundsatz der Verhältnismässigkeit, Willkürverbot, Rechtsgleichheit). Eine derartige staatsrechtliche Beschwerde ist nach Art. 86 Abs. 2 OG erst nach Erschöpfung des kantonalen Instanzenzuges zulässig. Die Gemeinde konnte den in ihre Autonomie eingreifenden Beschluss des Grossen Rates mit einem Normenkontrollbegehren beim Verwaltungsgericht des Kantons Aargau anfechten, und zwar mit sämtlichen Rügen, die sie in den beiden staatsrechtlichen Beschwerden erhebt. Wie das Bundesgericht in BGE 103 Ia 362 ff. festgestellt hat, ist das in den §§ 68 ff. des aargauischen Verwaltungsrechtspflegegesetzes vorgesehene abstrakte Normenkontrollverfahren einem Rechtsmittelverfahren im Sinne von Art. 86 Abs. 2 OG gleichzusetzen. Steht dieser kantonale Rechtsbehelf offen, so muss er, vorbehältlich der in Art. 86 Abs. 2 Satz 2 OG genannten Ausnahmen, BGE 104 Ia 131 S. 136 vor Einreichung einer staatsrechtlichen Beschwerde ergriffen werden. Auf die erste, unmittelbar im Anschluss an den beanstandeten Grossratsbeschluss erhobene Beschwerde vom 14. Oktober 1976 ist daher mangels Erschöpfung des Instanzenzuges nicht einzutreten.</w:t>
      </w:r>
    </w:p>
    <w:p>
      <w:r>
        <w:rPr>
          <w:b/>
        </w:rPr>
        <w:t>E. 2</w:t>
      </w:r>
    </w:p>
    <w:p>
      <w:r>
        <w:t>Mit der zweiten staatsrechtlichen Beschwerde vom 19. Dezember 1977 verlangt die Gemeinde Tägerig sowohl die Aufhebung des Verwaltungsgerichtsurteils wie auch des Beschlusses des Grossen Rates. a) Entscheidet eine kantonale Rechtsmittelbehörde mit freier Kognition, so ersetzt ihr Urteil den vorangegangenen unterinstanzlichen Entscheid, und es kann nur der Rechtsmittelentscheid Anfechtungsobjekt der staatsrechtlichen Beschwerde bilden. Hatte hingegen die kantonale Rechtsmittelinstanz eine beschränkte Kognition, so kann mit der im Anschluss an den Rechtsmittelentscheid erhobenen staatsrechtlichen Beschwerde auch noch die Aufhebung des unterinstanzlichen Sachentscheides verlangt werden ( BGE 94 I 462 und seitherige Praxis). Das Bundesgericht hat bisher in der Regel angenommen, dass das auf einer freien rechtlichen und tatsächlichen Kognition beruhende Urteil eines kantonalen Verwaltungsgerichts die vorangegangenen unterinstanzlichen kantonalen Entscheide ersetze und daher nur dieses letztinstanzliche Urteil Anfechtungsobjekt einer staatsrechtlichen Beschwerde bilden könne (so BGE 100 Ia 192 ; BGE 99 Ia 148 , 484; BGE 98 Ia 156 ; BGE 94 I 220 ; abweichend: BGE 100 Ia 267 ). Ob und inwieweit diese Rechtsprechung noch einer gewissen Differenzierung bedarf, kann hier offen bleiben; denn sie bezieht sich auf die Anfechtung von Verfügungen. Bei der Anfechtung von Erlassen gilt allgemein die Regel, dass mit der im Anschluss an den kantonalen Rechtsmittelentscheid erhobenen staatsrechtlichen Beschwerde auch noch die Aufhebung der angefochtenen Vorschrift selber verlangt werden kann ( BGE 103 Ia 364 ; BGE 101 Ia 491 E. 9; BGE 98 Ia 405 Nr. 64). Entsprechendes gilt auch für Beschwerden gegen Wahlen und Abstimmungen (vgl. BGE 102 Ia 267 f.). Der Beschluss des Grossen Rates vom 15. September 1976 hat insofern, als er einer baurechtlichen Vorschrift der Gemeinde einen neuen Inhalt gibt, den Charakter eines Erlasses. Mit der im Anschluss an das Verwaltungsgerichtsurteil erhobenen staatsrechtlichen Beschwerde kann daher auch noch die Aufhebung dieses Grossratsbeschlusses beantragt werden. BGE 104 Ia 131 S. 137 b) Ob ein Beschwerdeführer von der in bestimmten Fällen gegebenen Möglichkeit, mit der im Anschluss an den kantonalen Rechtsmittelentscheid erhobenen staatsrechtlichen Beschwerde auch noch die Aufhebung des unterinstanzlichen Sachentscheides zu verlangen, Gebrauch macht oder nicht, hat auf den Umfang der bundesgerichtlichen Kognition keinen Einfluss, sofern die geltend gemachten Verfassungsrügen von der Rechtsmittelinstanz geprüft worden sind. Auch wenn bloss die Aufhebung des Rechtsmittelentscheides verlangt wird, prüft das Bundesgericht, ob die den Beschwerdeführer belastende Anordnung, soweit sie im kantonalen Rechtsmittelverfahren nicht beseitigt worden ist, gegen die angerufenen Verfassungsnormen verstösst. Hat die kantonale Rechtsmittelinstanz das Vorliegen der geltend gemachten Verfassungsverletzung zu Unrecht verneint, so verletzt ihr Entscheid seinerseits das betreffende Verfassungsrecht, und es genügt, dass sich die staatsrechtliche Beschwerde gegen diesen Entscheid richtet. Voraussetzung ist freilich, dass die Rechtsmittelinstanz aufgrund der ihr nach kantonalem Verfahrensrecht zustehenden Kognition die Möglichkeit hatte, die vor Bundesgericht erhobenen Verfassungsrügen der Sache nach zu prüfen. Will jemand mit einer erst im Anschluss an den Rechtsmittelentscheid eingereichten staatsrechtlichen Beschwerde Rügen erheben, die der Kognition der Rechtsmittelinstanz entzogen waren, so muss er notgedrungen auch den unterinstanzlichen kantonalen Entscheid mitanfechten, damit das Bundesgericht auf diese Rügen eintreten kann; der Entscheid einer kantonalen Rechtsmittelinstanz, die aufgrund ihrer beschränkten Überprüfungsbefugnis nicht in der Lage ist, die beanstandete Verfassungswidrigkeit zu beseitigen, bildet kein taugliches Anfechtungsobjekt. Der letztgenannte Fall trifft hier jedoch nicht zu. Die Beschwerdeführerin erhebt vor Bundesgericht keine Rügen, die der Kognition des aargauischen Verwaltungsgerichtes entzogen gewesen wären. Sie hätte sich daher ohne Verringerung ihrer Erfolgschancen darauf beschränken können, das Urteil des Verwaltungsgerichtes anzufechten. Wenn es ihr nach der erwähnten Rechtsprechung trotz fehlender verfahrensrechtlicher Notwendigkeit gestattet ist, gleichzeitig auch noch die Aufhebung des vorangegangenen Grossratsbeschlusses zu verlangen, so deshalb, weil ein solches Vorgehen prozessökonomisch erscheint und gegebenenfalls die Wiederherstellung der verfassungsmässigen Lage erleichtert. BGE 104 Ia 131 S. 138</w:t>
      </w:r>
    </w:p>
    <w:p>
      <w:r>
        <w:rPr>
          <w:b/>
        </w:rPr>
        <w:t>E. 3</w:t>
      </w:r>
    </w:p>
    <w:p>
      <w:r>
        <w:t>a) Es darf davon ausgegangen werden, dass die aargauischen Gemeinden auch unter der Herrschaft des kantonalen Baugesetzes vom 2. Februar 1971 bei der Festlegung von Zonenplänen und beim Erlass der dazugehörigen Vorschriften im Sinne der bundesgerichtlichen Autonomierechtsprechung über eine relativ erhebliche Entscheidungsfreiheit verfügen. Dass sie bei dieser Tätigkeit einer Zweckmässigkeitskontrolle durch die kantonale Genehmigungsbehörde unterworfen sind, schliesst das Vorliegen eines geschützten Autonomiebereiches nicht aus. Vom Umfang der der kantonalen Behörde zustehenden Überprüfungsbefugnis hängt jedoch ab, wann ein Eingriff in die kommunale Gestaltungsfreiheit die Autonomie der Gemeinde verletzt ( BGE 102 Ia 170 ; BGE 101 Ia 261 mit Hinweisen; BGE 96 I 381 ; BGE 93 I 160 , 432). Die Gemeinde kann sich somit unter Berufung auf ihre Autonomie gegen ungerechtfertigte Eingriffe der kantonalen Genehmigungsbehörde zur Wehr setzen. Soweit nicht die Auslegung und Anwendung spezieller Normen des eidgenössischen oder kantonalen Verfassungsrechtes in Frage steht, prüft das Bundesgericht den Entscheid der kantonalen Behörde nur unter dem Gesichtswinkel der Willkür ( BGE 104 Ia 45 , 127; BGE 102 Ia 71 ; BGE 100 Ia 395 ). b) In der staatsrechtlichen Beschwerde wird zu Recht nicht behauptet, dass das Vorgehen des Grossen Rates gegen irgendwelche unmittelbar durch die Kantonsverfassung gewährleistete kommunale Selbstverwaltungsbefugnisse verstosse. Massgebend für den Umfang der Gemeindeautonomie im Bau- und Planungswesen sind die Vorschriften der kantonalen Gesetzgebung (vgl. Art. 95 KV), deren Handhabung das Bundesgericht im Rahmen einer Autonomiebeschwerde nur unter dem Gesichtswinkel der Willkür prüft. c) Im vorliegenden Falle ist zu entscheiden, ob der Grosse Rat als Genehmigungsbehörde von den ihm durch § 147 BauG eingeräumten Befugnissen in haltbarer Weise Gebrauch gemacht hat. Nach § 147 Abs. 2 BauG prüft der Grosse Rat die kommunalen Bauvorschriften und Zonenpläne sowohl auf ihre Rechtmässigkeit als auch auf ihre Zweckmässigkeit hin. Stellt er einen Mangel fest, so kann er die Vorschrift zur Änderung an die Gemeinde zurückweisen und, falls die Gemeinde nicht innert der ihr gesetzten Frist eine zweckmässige Lösung beschliesst, selber die Vorschrift abändern (§ 147 Abs. 3 BauG). Die Beschwerdeführerin rügt, dass § 30 der kommunalen Bau- und BGE 104 Ia 131 S. 139 Zonenordnung in der von der Gemeinde beschlossenen Fassung sowohl recht- als auch zweckmässig gewesen sei und der Grosse Rat der Vorschrift daher zu Unrecht die Genehmigung verweigert habe. Die vom Grossen Rat beschlossene Fassung sei nicht zweckmässiger als jene der Gemeinde, sondern im Gegenteil weniger zweckmässig, ja sogar völlig unzweckmässig. d) Es ist richtig, dass die in § 147 BauG vorgesehene Zweckmässigkeitskontrolle nicht den Sinn hat, dass der Grosse Rat die aus dem kommunalen Rechtsetzungsverfahren hervorgegangenen Vorschriften nach Belieben durch eigene Normen ersetzen darf. Die Genehmigungsbehörde soll vielmehr nur dann intervenieren, wenn sie die von der Gemeinde getroffene Lösung für unzweckmässig hält, und die Anordnung einer Ersatzlösung setzt voraus, dass diese zweckmässiger ist als die Regelung der Gemeinde. Es dürfte auch dem Sinn von § 147 BauG entsprechen, dass der Grosse Rat seine Zweckmässigkeitskontrolle mit Zurückhaltung ausübt und den Gemeinden einen gewissen Spielraum belässt (vgl. ZIMMERLIN, Baugesetz des Kantons Aargau, N. 11 zu §§ 146/147, S. 406). e) Ob sich der Grosse Rat im vorliegenden Falle an diese Schranken gehalten hat, ist weitgehend eine Ermessensfrage, die das Bundesgericht im Rahmen einer Autonomiebeschwerde nur unter dem Gesichtswinkel der Willkür prüft. Der verfassungsrechtliche Schutz der Autonomie beschränkt sich hier praktisch darauf, dass der Eingriff in die kommunale Gestaltungsfreiheit auf vernünftigen, vertretbaren Überlegungen beruhen und die von der Genehmigungsbehörde an Stelle der Gemeinde getroffene Anordnung ihrerseits sachlich haltbar sein muss (vgl. BGE 102 Ia 171 ; BGE 101 Ia 262 f.). Für eine weitergehende Kontrolle, so namentlich für die Abklärung der Frage, welche von zwei vertretbaren Lösung die zweckmässigere ist, besteht im Rahmen einer Willkürprüfung kein Raum. Wohl enthält § 147 BauG eine weitergehende Schranke als nur das Willkürverbot; die Genehmigungsbehörde darf in die Rechtsetzungsbefugnis der Gemeinde nur eingreifen, wenn dies bei pflichtgemässer Würdigung der Verhältnisse als geboten erscheint; doch liegt eine verfassungsrechtlich relevante Autonomieverletzung erst vor, wenn die kantonale Genehmigungsbehörde die ihr durch § 147 BauG übertragene Rechts- und Zweckmässigkeitskontrolle willkürlich ausgeübt hat. Unter BGE 104 Ia 131 S. 140 diesem Gesichtswinkel ist der Beschluss des Grossen Rates im folgenden zu prüfen. f) Ob auch das Verwaltungsgericht, das - im Gegensatz zum Bundesgericht - die Handhabung des kantonalen Gesetzesrechtes an sich frei zu prüfen hat, seine Kognition in der gleichen Weise beschränken durfte, ist hier nicht weiter zu untersuchen. In der staatsrechtlichen Beschwerde wird nicht behauptet, dass das Verwaltungsgericht dadurch, dass es auf das erhobene Normenkontrollbegehren hin den Beschluss des Grossen Rates mit dem gleichen Massstab prüfte, den das Bundesgericht bei Autonomiebeschwerden anwendet, eine Rechtsverweigerung begangen habe.</w:t>
      </w:r>
    </w:p>
    <w:p>
      <w:r>
        <w:rPr>
          <w:b/>
        </w:rPr>
        <w:t>E. 4</w:t>
      </w:r>
    </w:p>
    <w:p>
      <w:r>
        <w:t>a) Die Unterteilung der Bauzonen in verschiedene, räumlich abgegrenzte Abschnitte (Etappen) ist ein planerisches Mittel, um den Nachteilen, die sich aus der Ausscheidung eines grossen oder überdimensionierten Baugebietes ergeben können, zu begegnen. Im aargauischen Baurecht wird zwischen Erschliessungsetappierung und Baugebietsetappierung unterschieden. Die Erschliessungsetappierung will sicherstellen, dass die Erschliessungstätigkeit der öffentlichen Hand systematisch und rationell erfolgt. Sie besteht darin, dass die Gemeinde nur in einem Teil der Bauzone die Erschliessungskosten übernimmt; im übrigen Teil kann zwar gebaut werden, doch haben die Grundeigentümer die vollen Erschliessungskosten selber zu bezahlen. Die Baugebietsetappierung dient darüber hinaus dem Zweck, den Ablauf der Überbauung nach allgemeinen raumplanerischen Gesichtspunkten zu lenken (geordnete Besiedlung, Verhinderung der Streubauweise). In den entfernter gelegenen Teilen der Bauzone ist das Bauen vorläufig verboten, doch kann das Gebiet der zweiten Etappe sukzessive in definitives Baugebiet umgewandelt und damit zur Überbauung freigegeben werden (vgl. Aargauische Gerichts- und Verwaltungsentscheide 1976, S. 277 ff.; THOMAS PFISTERER, Möglichkeiten zur Beschränkung der Baugebiete aus der Sicht vorab des aargauischen Rechts, in: Planen und Bauen in der Nordwestschweiz, 1977, S. 6 ff.). b) Die Gemeinde Tägerig sah in § 30 BZO eine Erschliessungsetappierung vor. Durch die vom Grossen Rat beschlossene Fassung von § 30 BZO wird eine Baugebietsetappierung vorgeschrieben. Die Rüge der Beschwerdeführerin, eine Baugebietsetappierung sei in der aargauischen Baugesetzgebung nirgends ausdrücklich BGE 104 Ia 131 S. 141 vorgesehen, weshalb die vom Grossen Rat getroffene Anordnung der gesetzlichen Grundlage entbehre, dringt, jedenfalls unter dem Gesichtswinkel der Willkür, nicht durch. Wenn die Planungsorgane befugt sind, das Baugebiet auf das für eine zweckmässige Besiedlung erforderliche Mass zu beschränken, so haben sie auch die Möglichkeit, die Bauzone in verschiedene, stufenweise zu überbauende Abschnitte zu unterteilen. Es ist daher davon auszugehen, dass das aargauische Baugesetz sowohl die eine wie die andere Form der Etappierung zulässt (vgl. ZIMMERLIN, a.a.O., N. 6 und 7 zu § 128 BauG, S. 337 ff.). Zu prüfen bleibt, ob die vom Grossen Rat beschlossene Regelung auf vertretbaren Überlegungen beruht und sachlich vor dem Willkürverbot standhält. c) Der Regierungsrat führt in seiner Vernehmlassung aus, dass die Baugebietsfläche von Tägerig nach Auffassung des Grossen Rates zu gross sei. Statt sie auf dem Wege der Auszonung (bzw. Nichteinzonung) zu verkleinern, sei als mildere Massnahme eine Baugebietsetappierung angeordnet worden. Die von der Gemeindeversammlung Tägerig beschlossene Etappierungsvorschrift erscheine dem Grossen Rat wegen ihrer largen Formulierung nicht als ausreichend. Da der Gemeinderat Tägerig schon in drei Fällen provisorisches Baugebiet in definitives umgewandelt habe, ohne dass - wie nach § 30 BZO erforderlich - ein von der kantonalen Behörde genehmigter Überbauungsplan vorgelegen hätte, habe sich der Grosse Rat veranlasst gesehen, die Voraussetzungen für die Etappenumwandlung präziser zu umschreiben. Inwiefern das ausgeschiedene Baugebiet der Gemeinde Tägerig zu gross sein soll, wird in der Vernehmlassung des Regierungsrates, der selber ursprünglich die Genehmigung der kommunalen Bau- und Zonenordnung beantragt hatte, nicht näher ausgeführt. Der Regierungsrat stellt jedoch die Massnahme des Grossen Rates in einen grösseren Zusammenhang. Er weist darauf hin, dass heute im Kanton Aargau gesamthaft ein Baugebiet für 800'000 bis 900'000 Einwohner ausgeschieden sei; da jedoch nach heutiger Prognose der Kanton im Jahre 2000 nur 520'000 Einwohner haben werde, sei das ausgeschiedene Baugebiet eindeutig überdimensioniert. Die planerischen Gegenmassnahmen seien die Auszonung und die Etappierung. Die herkömmliche Erschliessungsetappierung, bei welcher der Grundeigentümer bei Übernahme der Kosten der Basiserschliessung in der zweiten Etappe praktisch beliebig an jeder Stelle bauen BGE 104 Ia 131 S. 142 könne, reiche nicht aus, um die Entwicklung in den Griff zu bekommen und eine unerwünschte und unökonomische Streubauweise zu verhindern. Die vom Grossen Rat beschlossene Etappierungsvorschrift, wonach zunächst nur in der ersten Etappe erschlossen und gebaut werden dürfe und eine Umwandlung von Gebiet der zweiten Etappe in definitives Baugebiet nur bei Vorliegen präzis umschriebener Voraussetzungen im Einvernehmen mit den kantonalen Instanzen erfolgen dürfe, sei ein zweckmässiges Mittel, um sicherzustellen, dass die Ortsplanung der regionalen und kantonalen Richtplanung und dem vom Kanton verfolgten Siedlungskonzept entspreche. Das Verwaltungsgericht hat sich diesen Überlegungen im wesentlichen angeschlossen und ist ebenfalls zum Schluss gelangt, dass die vom Grossen Rat beschlossene Baugebietsetappierung zulässig sei und den aargauischen Gemeinden zwangsweise auferlegt werden könne. d) Die Beschwerdeführerin bringt nichts vor, was diese Überlegungen entkräften würde. Sie tut insbesondere nicht dar, dass die Verhältnisse in Tägerig derart besonders gelagert seien, dass die von der kantonalen Behörde angestellten grundsätzlichen Erwägungen für diese Gemeinde keine Geltung haben könnten. Dass der Regierungsrat ursprünglich der Meinung war, die von der Gemeinde Tägerig beschlossene Lösung könne ohne Änderungen genehmigt werden, schliesst nicht aus, dass die vom Grossen Rat geforderte Änderung sachlich begründbar und zweckmässig ist. Es erscheint nicht unvernünftig, die kurzfristige Konzentration der Überbauung im definitiven Baugebiet dadurch zusätzlich zu fördern, dass im Baugebiet zweiter Etappe einstweilen nicht gebaut werden darf, solange in der ersten Etappe ausreichend Land zur Verfügung steht. Indem die Gemeinde eine Erschliessungsetappierung vorsah, ging sie selber davon aus, dass zunächst die Überbauung des definitiven Baugebietes wünschbar sei und dass eine Staffelung der Überbauung des übrigen Baugebietes in ihrem eigenen Interesse liege. Der Grosse Rat verstärkte nur die Mittel zur Erreichung dieses Zieles. Die Voraussetzungen, von denen der Grosse Rat die Umwandlung der zweiten Etappe in definitives Baugebiet abhängig macht, sind sachbezogen und geeignet, das angestrebte planerische Ziel zu erreichen. Sie haben für die Gemeinde keine übermässige Einschränkung der baulichen Entwicklung zur Folge. Steht im definitiven Baugebiet nicht BGE 104 Ia 131 S. 143 mehr genügend Bauland zur Verfügung, so kann auch nach der vom Grossen Rat beschlossenen Regelung zusätzliches Baugebiet zur Überbauung freigegeben werden. Ob in Tägerig derartige Umwandlungen schon sehr bald vorgenommen werden müssen, ist ohne Belang. Sollten sich die kantonalen Behörden einem Umwandlungsbegehren in willkürlicher Weise widersetzen, können die Gemeinden oder die betroffenen Grundeigentümer hiegegen die zur Verfügung stehenden Rechtsmittel ergreifen. e) Von einer rechtsungleichen Behandlung könnte nur die Rede sein, wenn der Grosse Rat bei andern Gemeinden, die sich in einer gleichen oder ähnlichen Lage wie Tägerig befinden, eine ganz andere Haltung eingenommen hätte. Dies wurde jedoch nicht dargetan. Der Vergleich mit den Gemeinden, die noch keine Ortsplanung haben, ist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